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4E36D">
      <w:pPr>
        <w:spacing w:line="560" w:lineRule="exact"/>
        <w:rPr>
          <w:rFonts w:ascii="Times New Roman" w:hAnsi="Times New Roman" w:eastAsia="仿宋" w:cs="Times New Roman"/>
          <w:b/>
          <w:sz w:val="28"/>
          <w:szCs w:val="28"/>
        </w:rPr>
      </w:pPr>
      <w:r>
        <w:rPr>
          <w:rFonts w:ascii="Times New Roman" w:hAnsi="Times New Roman" w:eastAsia="仿宋" w:cs="Times New Roman"/>
          <w:b/>
          <w:sz w:val="28"/>
          <w:szCs w:val="28"/>
        </w:rPr>
        <w:t>附件</w:t>
      </w:r>
      <w:r>
        <w:rPr>
          <w:rFonts w:hint="eastAsia" w:ascii="Times New Roman" w:hAnsi="Times New Roman" w:eastAsia="仿宋" w:cs="Times New Roman"/>
          <w:b/>
          <w:sz w:val="28"/>
          <w:szCs w:val="28"/>
        </w:rPr>
        <w:t>2</w:t>
      </w:r>
    </w:p>
    <w:p w14:paraId="44CE3288">
      <w:pPr>
        <w:pStyle w:val="3"/>
        <w:jc w:val="center"/>
        <w:rPr>
          <w:rFonts w:ascii="Times New Roman" w:hAnsi="Times New Roman" w:eastAsia="仿宋" w:cs="Times New Roman"/>
          <w:b/>
          <w:sz w:val="32"/>
          <w:szCs w:val="32"/>
        </w:rPr>
      </w:pPr>
      <w:r>
        <w:rPr>
          <w:rFonts w:ascii="Times New Roman" w:hAnsi="Times New Roman" w:eastAsia="仿宋" w:cs="Times New Roman"/>
          <w:b/>
          <w:sz w:val="32"/>
          <w:szCs w:val="32"/>
        </w:rPr>
        <w:t>专业学位授</w:t>
      </w:r>
      <w:r>
        <w:rPr>
          <w:rFonts w:hint="eastAsia" w:ascii="Times New Roman" w:hAnsi="Times New Roman" w:eastAsia="仿宋" w:cs="Times New Roman"/>
          <w:b/>
          <w:sz w:val="32"/>
          <w:szCs w:val="32"/>
          <w:lang w:val="en-US" w:eastAsia="zh-CN"/>
        </w:rPr>
        <w:t>予</w:t>
      </w:r>
      <w:r>
        <w:rPr>
          <w:rFonts w:ascii="Times New Roman" w:hAnsi="Times New Roman" w:eastAsia="仿宋" w:cs="Times New Roman"/>
          <w:b/>
          <w:sz w:val="32"/>
          <w:szCs w:val="32"/>
        </w:rPr>
        <w:t>点抽评要素</w:t>
      </w:r>
    </w:p>
    <w:tbl>
      <w:tblPr>
        <w:tblStyle w:val="7"/>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0"/>
        <w:gridCol w:w="1872"/>
        <w:gridCol w:w="6208"/>
      </w:tblGrid>
      <w:tr w14:paraId="345A9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Align w:val="center"/>
          </w:tcPr>
          <w:p w14:paraId="09D43E87">
            <w:pPr>
              <w:snapToGrid w:val="0"/>
              <w:spacing w:line="270" w:lineRule="exact"/>
              <w:jc w:val="center"/>
              <w:rPr>
                <w:rFonts w:ascii="Times New Roman" w:hAnsi="Times New Roman" w:eastAsia="仿宋" w:cs="Times New Roman"/>
                <w:b/>
                <w:sz w:val="21"/>
                <w:szCs w:val="21"/>
              </w:rPr>
            </w:pPr>
            <w:bookmarkStart w:id="0" w:name="_GoBack"/>
            <w:r>
              <w:rPr>
                <w:rFonts w:ascii="Times New Roman" w:hAnsi="Times New Roman" w:eastAsia="仿宋" w:cs="Times New Roman"/>
                <w:b/>
                <w:sz w:val="21"/>
                <w:szCs w:val="21"/>
              </w:rPr>
              <w:t>一级要素</w:t>
            </w:r>
          </w:p>
        </w:tc>
        <w:tc>
          <w:tcPr>
            <w:tcW w:w="1872" w:type="dxa"/>
            <w:vAlign w:val="center"/>
          </w:tcPr>
          <w:p w14:paraId="6E9986DF">
            <w:pPr>
              <w:snapToGrid w:val="0"/>
              <w:spacing w:line="270" w:lineRule="exact"/>
              <w:jc w:val="center"/>
              <w:rPr>
                <w:rFonts w:ascii="Times New Roman" w:hAnsi="Times New Roman" w:eastAsia="仿宋" w:cs="Times New Roman"/>
                <w:b/>
                <w:sz w:val="21"/>
                <w:szCs w:val="21"/>
              </w:rPr>
            </w:pPr>
            <w:r>
              <w:rPr>
                <w:rFonts w:ascii="Times New Roman" w:hAnsi="Times New Roman" w:eastAsia="仿宋" w:cs="Times New Roman"/>
                <w:b/>
                <w:sz w:val="21"/>
                <w:szCs w:val="21"/>
              </w:rPr>
              <w:t>二级要素</w:t>
            </w:r>
          </w:p>
        </w:tc>
        <w:tc>
          <w:tcPr>
            <w:tcW w:w="6208" w:type="dxa"/>
            <w:vAlign w:val="center"/>
          </w:tcPr>
          <w:p w14:paraId="54E047E5">
            <w:pPr>
              <w:snapToGrid w:val="0"/>
              <w:spacing w:line="270" w:lineRule="exact"/>
              <w:jc w:val="center"/>
              <w:rPr>
                <w:rFonts w:ascii="Times New Roman" w:hAnsi="Times New Roman" w:eastAsia="仿宋" w:cs="Times New Roman"/>
                <w:b/>
                <w:sz w:val="21"/>
                <w:szCs w:val="21"/>
              </w:rPr>
            </w:pPr>
            <w:r>
              <w:rPr>
                <w:rFonts w:ascii="Times New Roman" w:hAnsi="Times New Roman" w:eastAsia="仿宋" w:cs="Times New Roman"/>
                <w:b/>
                <w:sz w:val="21"/>
                <w:szCs w:val="21"/>
              </w:rPr>
              <w:t>主要内容</w:t>
            </w:r>
          </w:p>
        </w:tc>
      </w:tr>
      <w:tr w14:paraId="06877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restart"/>
            <w:vAlign w:val="center"/>
          </w:tcPr>
          <w:p w14:paraId="2D22056B">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1目标与标准</w:t>
            </w:r>
          </w:p>
        </w:tc>
        <w:tc>
          <w:tcPr>
            <w:tcW w:w="1872" w:type="dxa"/>
            <w:vAlign w:val="center"/>
          </w:tcPr>
          <w:p w14:paraId="215D8AF2">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1.1培养目标</w:t>
            </w:r>
          </w:p>
        </w:tc>
        <w:tc>
          <w:tcPr>
            <w:tcW w:w="6208" w:type="dxa"/>
            <w:vAlign w:val="center"/>
          </w:tcPr>
          <w:p w14:paraId="3CB4EE3C">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本学位点培养研究生的目标定位。</w:t>
            </w:r>
          </w:p>
        </w:tc>
      </w:tr>
      <w:tr w14:paraId="2A70B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3022BFB7">
            <w:pPr>
              <w:snapToGrid w:val="0"/>
              <w:spacing w:line="270" w:lineRule="exact"/>
              <w:rPr>
                <w:rFonts w:ascii="Times New Roman" w:hAnsi="Times New Roman" w:eastAsia="仿宋" w:cs="Times New Roman"/>
                <w:sz w:val="21"/>
                <w:szCs w:val="21"/>
              </w:rPr>
            </w:pPr>
          </w:p>
        </w:tc>
        <w:tc>
          <w:tcPr>
            <w:tcW w:w="1872" w:type="dxa"/>
            <w:vAlign w:val="center"/>
          </w:tcPr>
          <w:p w14:paraId="4BE3EBBD">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1.2学位标准</w:t>
            </w:r>
          </w:p>
        </w:tc>
        <w:tc>
          <w:tcPr>
            <w:tcW w:w="6208" w:type="dxa"/>
            <w:vAlign w:val="center"/>
          </w:tcPr>
          <w:p w14:paraId="585BBA2B">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符合本专业学位特点，与本单位办学定位及特色相一致的学位授予质量标准的制定及执行情况。</w:t>
            </w:r>
          </w:p>
        </w:tc>
      </w:tr>
      <w:tr w14:paraId="61966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restart"/>
            <w:vAlign w:val="center"/>
          </w:tcPr>
          <w:p w14:paraId="0D709BAC">
            <w:pPr>
              <w:spacing w:line="270" w:lineRule="exact"/>
              <w:rPr>
                <w:rFonts w:ascii="Times New Roman" w:hAnsi="Times New Roman" w:eastAsia="仿宋" w:cs="Times New Roman"/>
              </w:rPr>
            </w:pPr>
            <w:r>
              <w:rPr>
                <w:rFonts w:ascii="Times New Roman" w:hAnsi="Times New Roman" w:eastAsia="仿宋" w:cs="Times New Roman"/>
                <w:sz w:val="21"/>
                <w:szCs w:val="21"/>
              </w:rPr>
              <w:t>2基本条件</w:t>
            </w:r>
          </w:p>
        </w:tc>
        <w:tc>
          <w:tcPr>
            <w:tcW w:w="1872" w:type="dxa"/>
            <w:vAlign w:val="center"/>
          </w:tcPr>
          <w:p w14:paraId="4FE00DE6">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2.1培养特色</w:t>
            </w:r>
          </w:p>
        </w:tc>
        <w:tc>
          <w:tcPr>
            <w:tcW w:w="6208" w:type="dxa"/>
            <w:vAlign w:val="center"/>
          </w:tcPr>
          <w:p w14:paraId="6AEE9ECC">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本学位点的主要培养特色简介。</w:t>
            </w:r>
          </w:p>
        </w:tc>
      </w:tr>
      <w:tr w14:paraId="2237E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532CD1D1">
            <w:pPr>
              <w:spacing w:line="270" w:lineRule="exact"/>
              <w:rPr>
                <w:rFonts w:ascii="Times New Roman" w:hAnsi="Times New Roman" w:eastAsia="仿宋" w:cs="Times New Roman"/>
              </w:rPr>
            </w:pPr>
          </w:p>
        </w:tc>
        <w:tc>
          <w:tcPr>
            <w:tcW w:w="1872" w:type="dxa"/>
            <w:vAlign w:val="center"/>
          </w:tcPr>
          <w:p w14:paraId="75E967B5">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2.2师资队伍</w:t>
            </w:r>
          </w:p>
        </w:tc>
        <w:tc>
          <w:tcPr>
            <w:tcW w:w="6208" w:type="dxa"/>
            <w:vAlign w:val="center"/>
          </w:tcPr>
          <w:p w14:paraId="1B859F01">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骨干教师及师资队伍规模、结构情况，包括专任教师及行业教师情况。</w:t>
            </w:r>
          </w:p>
        </w:tc>
      </w:tr>
      <w:tr w14:paraId="2CDDF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1B1C17FC">
            <w:pPr>
              <w:snapToGrid w:val="0"/>
              <w:spacing w:line="270" w:lineRule="exact"/>
              <w:rPr>
                <w:rFonts w:ascii="Times New Roman" w:hAnsi="Times New Roman" w:eastAsia="仿宋" w:cs="Times New Roman"/>
                <w:sz w:val="21"/>
                <w:szCs w:val="21"/>
              </w:rPr>
            </w:pPr>
          </w:p>
        </w:tc>
        <w:tc>
          <w:tcPr>
            <w:tcW w:w="1872" w:type="dxa"/>
            <w:vAlign w:val="center"/>
          </w:tcPr>
          <w:p w14:paraId="4B04541B">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2.3科学研究</w:t>
            </w:r>
          </w:p>
        </w:tc>
        <w:tc>
          <w:tcPr>
            <w:tcW w:w="6208" w:type="dxa"/>
            <w:vAlign w:val="center"/>
          </w:tcPr>
          <w:p w14:paraId="599E0C8A">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本学位点近5年已完成的主要应用性科研成果或科研项目情况。</w:t>
            </w:r>
          </w:p>
        </w:tc>
      </w:tr>
      <w:tr w14:paraId="05E41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5A625BB6">
            <w:pPr>
              <w:snapToGrid w:val="0"/>
              <w:spacing w:line="270" w:lineRule="exact"/>
              <w:rPr>
                <w:rFonts w:ascii="Times New Roman" w:hAnsi="Times New Roman" w:eastAsia="仿宋" w:cs="Times New Roman"/>
                <w:sz w:val="21"/>
                <w:szCs w:val="21"/>
              </w:rPr>
            </w:pPr>
          </w:p>
        </w:tc>
        <w:tc>
          <w:tcPr>
            <w:tcW w:w="1872" w:type="dxa"/>
            <w:vAlign w:val="center"/>
          </w:tcPr>
          <w:p w14:paraId="6796A62A">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2.4教学科研支撑</w:t>
            </w:r>
          </w:p>
        </w:tc>
        <w:tc>
          <w:tcPr>
            <w:tcW w:w="6208" w:type="dxa"/>
            <w:vAlign w:val="center"/>
          </w:tcPr>
          <w:p w14:paraId="570495A0">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本学位点支撑研究生案例教学、实践教学的软硬件设施，联合培养基地建设情况。</w:t>
            </w:r>
          </w:p>
        </w:tc>
      </w:tr>
      <w:tr w14:paraId="52CCC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50F0C414">
            <w:pPr>
              <w:snapToGrid w:val="0"/>
              <w:spacing w:line="270" w:lineRule="exact"/>
              <w:rPr>
                <w:rFonts w:ascii="Times New Roman" w:hAnsi="Times New Roman" w:eastAsia="仿宋" w:cs="Times New Roman"/>
                <w:sz w:val="21"/>
                <w:szCs w:val="21"/>
              </w:rPr>
            </w:pPr>
          </w:p>
        </w:tc>
        <w:tc>
          <w:tcPr>
            <w:tcW w:w="1872" w:type="dxa"/>
            <w:vAlign w:val="center"/>
          </w:tcPr>
          <w:p w14:paraId="2118FCAC">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2</w:t>
            </w:r>
            <w:r>
              <w:rPr>
                <w:rFonts w:ascii="Times New Roman" w:hAnsi="Times New Roman" w:eastAsia="仿宋" w:cs="Times New Roman"/>
                <w:sz w:val="21"/>
                <w:szCs w:val="21"/>
                <w:lang w:val="zh-CN"/>
              </w:rPr>
              <w:t>.</w:t>
            </w:r>
            <w:r>
              <w:rPr>
                <w:rFonts w:ascii="Times New Roman" w:hAnsi="Times New Roman" w:eastAsia="仿宋" w:cs="Times New Roman"/>
                <w:sz w:val="21"/>
                <w:szCs w:val="21"/>
              </w:rPr>
              <w:t>5</w:t>
            </w:r>
            <w:r>
              <w:rPr>
                <w:rFonts w:ascii="Times New Roman" w:hAnsi="Times New Roman" w:eastAsia="仿宋" w:cs="Times New Roman"/>
                <w:sz w:val="21"/>
                <w:szCs w:val="21"/>
                <w:lang w:val="zh-CN"/>
              </w:rPr>
              <w:t>奖助体系</w:t>
            </w:r>
          </w:p>
        </w:tc>
        <w:tc>
          <w:tcPr>
            <w:tcW w:w="6208" w:type="dxa"/>
            <w:vAlign w:val="center"/>
          </w:tcPr>
          <w:p w14:paraId="218456CA">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本学位点研究生奖助体系的制度建设、奖助水平、覆盖面等情况。</w:t>
            </w:r>
          </w:p>
        </w:tc>
      </w:tr>
      <w:tr w14:paraId="59A97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restart"/>
            <w:shd w:val="clear" w:color="auto" w:fill="auto"/>
            <w:vAlign w:val="center"/>
          </w:tcPr>
          <w:p w14:paraId="2A2E9B45">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3人才培养</w:t>
            </w:r>
          </w:p>
        </w:tc>
        <w:tc>
          <w:tcPr>
            <w:tcW w:w="1872" w:type="dxa"/>
            <w:vAlign w:val="center"/>
          </w:tcPr>
          <w:p w14:paraId="00EAFB61">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3</w:t>
            </w:r>
            <w:r>
              <w:rPr>
                <w:rFonts w:ascii="Times New Roman" w:hAnsi="Times New Roman" w:eastAsia="仿宋" w:cs="Times New Roman"/>
                <w:sz w:val="21"/>
                <w:szCs w:val="21"/>
                <w:lang w:val="zh-CN"/>
              </w:rPr>
              <w:t>.1招生选拔</w:t>
            </w:r>
          </w:p>
        </w:tc>
        <w:tc>
          <w:tcPr>
            <w:tcW w:w="6208" w:type="dxa"/>
            <w:vAlign w:val="center"/>
          </w:tcPr>
          <w:p w14:paraId="360ADB12">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lang w:val="zh-CN"/>
              </w:rPr>
              <w:t>学位授权点研究生报考数量、录取比例、录取人数、生源结构情况，符合专业学位特点的招生选拔机制，以及为保证生源质量采取的措施。</w:t>
            </w:r>
          </w:p>
        </w:tc>
      </w:tr>
      <w:tr w14:paraId="4F503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shd w:val="clear" w:color="auto" w:fill="auto"/>
            <w:vAlign w:val="center"/>
          </w:tcPr>
          <w:p w14:paraId="3ACD7137">
            <w:pPr>
              <w:snapToGrid w:val="0"/>
              <w:spacing w:line="270" w:lineRule="exact"/>
              <w:rPr>
                <w:rFonts w:ascii="Times New Roman" w:hAnsi="Times New Roman" w:eastAsia="仿宋" w:cs="Times New Roman"/>
                <w:sz w:val="21"/>
                <w:szCs w:val="21"/>
              </w:rPr>
            </w:pPr>
          </w:p>
        </w:tc>
        <w:tc>
          <w:tcPr>
            <w:tcW w:w="1872" w:type="dxa"/>
            <w:vAlign w:val="center"/>
          </w:tcPr>
          <w:p w14:paraId="45D96D6F">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3.2思政教育</w:t>
            </w:r>
          </w:p>
        </w:tc>
        <w:tc>
          <w:tcPr>
            <w:tcW w:w="6208" w:type="dxa"/>
            <w:vAlign w:val="center"/>
          </w:tcPr>
          <w:p w14:paraId="5116B15F">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思想政治理论课开设、课程思政、研究生辅导员队伍建设、研究生党建工作等情况。</w:t>
            </w:r>
          </w:p>
        </w:tc>
      </w:tr>
      <w:tr w14:paraId="5D469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shd w:val="clear" w:color="auto" w:fill="auto"/>
            <w:vAlign w:val="center"/>
          </w:tcPr>
          <w:p w14:paraId="142CB5DA">
            <w:pPr>
              <w:snapToGrid w:val="0"/>
              <w:spacing w:line="270" w:lineRule="exact"/>
              <w:rPr>
                <w:rFonts w:ascii="Times New Roman" w:hAnsi="Times New Roman" w:eastAsia="仿宋" w:cs="Times New Roman"/>
                <w:sz w:val="21"/>
                <w:szCs w:val="21"/>
              </w:rPr>
            </w:pPr>
          </w:p>
        </w:tc>
        <w:tc>
          <w:tcPr>
            <w:tcW w:w="1872" w:type="dxa"/>
            <w:vAlign w:val="center"/>
          </w:tcPr>
          <w:p w14:paraId="0957418B">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3</w:t>
            </w:r>
            <w:r>
              <w:rPr>
                <w:rFonts w:ascii="Times New Roman" w:hAnsi="Times New Roman" w:eastAsia="仿宋" w:cs="Times New Roman"/>
                <w:sz w:val="21"/>
                <w:szCs w:val="21"/>
                <w:lang w:val="zh-CN"/>
              </w:rPr>
              <w:t>.</w:t>
            </w:r>
            <w:r>
              <w:rPr>
                <w:rFonts w:ascii="Times New Roman" w:hAnsi="Times New Roman" w:eastAsia="仿宋" w:cs="Times New Roman"/>
                <w:sz w:val="21"/>
                <w:szCs w:val="21"/>
              </w:rPr>
              <w:t>3</w:t>
            </w:r>
            <w:r>
              <w:rPr>
                <w:rFonts w:ascii="Times New Roman" w:hAnsi="Times New Roman" w:eastAsia="仿宋" w:cs="Times New Roman"/>
                <w:sz w:val="21"/>
                <w:szCs w:val="21"/>
                <w:lang w:val="zh-CN"/>
              </w:rPr>
              <w:t>课程教学</w:t>
            </w:r>
          </w:p>
        </w:tc>
        <w:tc>
          <w:tcPr>
            <w:tcW w:w="6208" w:type="dxa"/>
            <w:vAlign w:val="center"/>
          </w:tcPr>
          <w:p w14:paraId="028C9531">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本学位点开设的核心课程及主讲教师。课程教学质量和持续改进机制，教材建设情况。</w:t>
            </w:r>
          </w:p>
        </w:tc>
      </w:tr>
      <w:tr w14:paraId="122C7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shd w:val="clear" w:color="auto" w:fill="auto"/>
            <w:vAlign w:val="center"/>
          </w:tcPr>
          <w:p w14:paraId="14E27338">
            <w:pPr>
              <w:snapToGrid w:val="0"/>
              <w:spacing w:line="270" w:lineRule="exact"/>
              <w:rPr>
                <w:rFonts w:ascii="Times New Roman" w:hAnsi="Times New Roman" w:eastAsia="仿宋" w:cs="Times New Roman"/>
                <w:sz w:val="21"/>
                <w:szCs w:val="21"/>
              </w:rPr>
            </w:pPr>
          </w:p>
        </w:tc>
        <w:tc>
          <w:tcPr>
            <w:tcW w:w="1872" w:type="dxa"/>
            <w:vAlign w:val="center"/>
          </w:tcPr>
          <w:p w14:paraId="5124F60F">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3</w:t>
            </w:r>
            <w:r>
              <w:rPr>
                <w:rFonts w:ascii="Times New Roman" w:hAnsi="Times New Roman" w:eastAsia="仿宋" w:cs="Times New Roman"/>
                <w:sz w:val="21"/>
                <w:szCs w:val="21"/>
                <w:lang w:val="zh-CN"/>
              </w:rPr>
              <w:t>.</w:t>
            </w:r>
            <w:r>
              <w:rPr>
                <w:rFonts w:ascii="Times New Roman" w:hAnsi="Times New Roman" w:eastAsia="仿宋" w:cs="Times New Roman"/>
                <w:sz w:val="21"/>
                <w:szCs w:val="21"/>
              </w:rPr>
              <w:t>4</w:t>
            </w:r>
            <w:r>
              <w:rPr>
                <w:rFonts w:ascii="Times New Roman" w:hAnsi="Times New Roman" w:eastAsia="仿宋" w:cs="Times New Roman"/>
                <w:sz w:val="21"/>
                <w:szCs w:val="21"/>
                <w:lang w:val="zh-CN"/>
              </w:rPr>
              <w:t>导师指导</w:t>
            </w:r>
          </w:p>
        </w:tc>
        <w:tc>
          <w:tcPr>
            <w:tcW w:w="6208" w:type="dxa"/>
            <w:vAlign w:val="center"/>
          </w:tcPr>
          <w:p w14:paraId="428782C4">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导师队伍的选聘、培训、考核情况，</w:t>
            </w:r>
            <w:r>
              <w:rPr>
                <w:rFonts w:ascii="Times New Roman" w:hAnsi="Times New Roman" w:eastAsia="仿宋" w:cs="Times New Roman"/>
                <w:color w:val="000000"/>
                <w:sz w:val="21"/>
                <w:szCs w:val="21"/>
              </w:rPr>
              <w:t>行业产业导师选聘，研究生双导师制</w:t>
            </w:r>
            <w:r>
              <w:rPr>
                <w:rFonts w:ascii="Times New Roman" w:hAnsi="Times New Roman" w:eastAsia="仿宋" w:cs="Times New Roman"/>
                <w:sz w:val="21"/>
                <w:szCs w:val="21"/>
              </w:rPr>
              <w:t>情况</w:t>
            </w:r>
            <w:r>
              <w:rPr>
                <w:rFonts w:ascii="Times New Roman" w:hAnsi="Times New Roman" w:eastAsia="仿宋" w:cs="Times New Roman"/>
                <w:color w:val="000000"/>
                <w:sz w:val="21"/>
                <w:szCs w:val="21"/>
              </w:rPr>
              <w:t>。</w:t>
            </w:r>
            <w:r>
              <w:rPr>
                <w:rFonts w:ascii="Times New Roman" w:hAnsi="Times New Roman" w:eastAsia="仿宋" w:cs="Times New Roman"/>
                <w:sz w:val="21"/>
                <w:szCs w:val="21"/>
              </w:rPr>
              <w:t>导师指导研究生的制度要求和执行情况，博士生导师岗位管理制度建设和落实情况。</w:t>
            </w:r>
          </w:p>
        </w:tc>
      </w:tr>
      <w:tr w14:paraId="65083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blHeader/>
          <w:jc w:val="center"/>
        </w:trPr>
        <w:tc>
          <w:tcPr>
            <w:tcW w:w="1490" w:type="dxa"/>
            <w:vMerge w:val="continue"/>
            <w:shd w:val="clear" w:color="auto" w:fill="auto"/>
            <w:vAlign w:val="center"/>
          </w:tcPr>
          <w:p w14:paraId="3C861640">
            <w:pPr>
              <w:snapToGrid w:val="0"/>
              <w:spacing w:line="270" w:lineRule="exact"/>
              <w:rPr>
                <w:rFonts w:ascii="Times New Roman" w:hAnsi="Times New Roman" w:eastAsia="仿宋" w:cs="Times New Roman"/>
                <w:sz w:val="21"/>
                <w:szCs w:val="21"/>
              </w:rPr>
            </w:pPr>
          </w:p>
        </w:tc>
        <w:tc>
          <w:tcPr>
            <w:tcW w:w="1872" w:type="dxa"/>
            <w:vAlign w:val="center"/>
          </w:tcPr>
          <w:p w14:paraId="16DE92B3">
            <w:pPr>
              <w:snapToGrid w:val="0"/>
              <w:spacing w:line="270" w:lineRule="exact"/>
              <w:rPr>
                <w:rFonts w:ascii="Times New Roman" w:hAnsi="Times New Roman" w:eastAsia="仿宋" w:cs="Times New Roman"/>
                <w:sz w:val="21"/>
                <w:szCs w:val="21"/>
                <w:lang w:val="zh-CN"/>
              </w:rPr>
            </w:pPr>
            <w:r>
              <w:rPr>
                <w:rFonts w:ascii="Times New Roman" w:hAnsi="Times New Roman" w:eastAsia="仿宋" w:cs="Times New Roman"/>
                <w:sz w:val="21"/>
                <w:szCs w:val="21"/>
              </w:rPr>
              <w:t>3</w:t>
            </w:r>
            <w:r>
              <w:rPr>
                <w:rFonts w:ascii="Times New Roman" w:hAnsi="Times New Roman" w:eastAsia="仿宋" w:cs="Times New Roman"/>
                <w:sz w:val="21"/>
                <w:szCs w:val="21"/>
                <w:lang w:val="zh-CN"/>
              </w:rPr>
              <w:t>.</w:t>
            </w:r>
            <w:r>
              <w:rPr>
                <w:rFonts w:ascii="Times New Roman" w:hAnsi="Times New Roman" w:eastAsia="仿宋" w:cs="Times New Roman"/>
                <w:sz w:val="21"/>
                <w:szCs w:val="21"/>
              </w:rPr>
              <w:t>5</w:t>
            </w:r>
            <w:r>
              <w:rPr>
                <w:rFonts w:ascii="Times New Roman" w:hAnsi="Times New Roman" w:eastAsia="仿宋" w:cs="Times New Roman"/>
                <w:sz w:val="21"/>
                <w:szCs w:val="21"/>
                <w:lang w:val="zh-CN"/>
              </w:rPr>
              <w:t>实践教学</w:t>
            </w:r>
          </w:p>
        </w:tc>
        <w:tc>
          <w:tcPr>
            <w:tcW w:w="6208" w:type="dxa"/>
            <w:vAlign w:val="center"/>
          </w:tcPr>
          <w:p w14:paraId="49676F50">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专业学位研究生参与实践教学，产教融合培养研究生成效，包括制度保证、经费支持，行业企业参与人才培养情况等。</w:t>
            </w:r>
          </w:p>
        </w:tc>
      </w:tr>
      <w:tr w14:paraId="64578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shd w:val="clear" w:color="auto" w:fill="auto"/>
            <w:vAlign w:val="center"/>
          </w:tcPr>
          <w:p w14:paraId="6577CDDB">
            <w:pPr>
              <w:snapToGrid w:val="0"/>
              <w:spacing w:line="270" w:lineRule="exact"/>
              <w:rPr>
                <w:rFonts w:ascii="Times New Roman" w:hAnsi="Times New Roman" w:eastAsia="仿宋" w:cs="Times New Roman"/>
                <w:sz w:val="21"/>
                <w:szCs w:val="21"/>
              </w:rPr>
            </w:pPr>
          </w:p>
        </w:tc>
        <w:tc>
          <w:tcPr>
            <w:tcW w:w="1872" w:type="dxa"/>
            <w:vAlign w:val="center"/>
          </w:tcPr>
          <w:p w14:paraId="586BB788">
            <w:pPr>
              <w:snapToGrid w:val="0"/>
              <w:spacing w:line="270" w:lineRule="exact"/>
              <w:rPr>
                <w:rFonts w:ascii="Times New Roman" w:hAnsi="Times New Roman" w:eastAsia="仿宋" w:cs="Times New Roman"/>
                <w:sz w:val="21"/>
                <w:szCs w:val="21"/>
                <w:lang w:val="zh-CN"/>
              </w:rPr>
            </w:pPr>
            <w:r>
              <w:rPr>
                <w:rFonts w:ascii="Times New Roman" w:hAnsi="Times New Roman" w:eastAsia="仿宋" w:cs="Times New Roman"/>
                <w:sz w:val="21"/>
                <w:szCs w:val="21"/>
              </w:rPr>
              <w:t>3</w:t>
            </w:r>
            <w:r>
              <w:rPr>
                <w:rFonts w:ascii="Times New Roman" w:hAnsi="Times New Roman" w:eastAsia="仿宋" w:cs="Times New Roman"/>
                <w:sz w:val="21"/>
                <w:szCs w:val="21"/>
                <w:lang w:val="zh-CN"/>
              </w:rPr>
              <w:t>.</w:t>
            </w:r>
            <w:r>
              <w:rPr>
                <w:rFonts w:ascii="Times New Roman" w:hAnsi="Times New Roman" w:eastAsia="仿宋" w:cs="Times New Roman"/>
                <w:sz w:val="21"/>
                <w:szCs w:val="21"/>
              </w:rPr>
              <w:t>6</w:t>
            </w:r>
            <w:r>
              <w:rPr>
                <w:rFonts w:ascii="Times New Roman" w:hAnsi="Times New Roman" w:eastAsia="仿宋" w:cs="Times New Roman"/>
                <w:sz w:val="21"/>
                <w:szCs w:val="21"/>
                <w:lang w:val="zh-CN"/>
              </w:rPr>
              <w:t>学术交流</w:t>
            </w:r>
          </w:p>
        </w:tc>
        <w:tc>
          <w:tcPr>
            <w:tcW w:w="6208" w:type="dxa"/>
            <w:vAlign w:val="center"/>
          </w:tcPr>
          <w:p w14:paraId="1266A362">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研究生参与国际国内学术交流的基本情况。</w:t>
            </w:r>
          </w:p>
        </w:tc>
      </w:tr>
      <w:tr w14:paraId="40554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shd w:val="clear" w:color="auto" w:fill="auto"/>
            <w:vAlign w:val="center"/>
          </w:tcPr>
          <w:p w14:paraId="38EEB444">
            <w:pPr>
              <w:snapToGrid w:val="0"/>
              <w:spacing w:line="270" w:lineRule="exact"/>
              <w:rPr>
                <w:rFonts w:ascii="Times New Roman" w:hAnsi="Times New Roman" w:eastAsia="仿宋" w:cs="Times New Roman"/>
                <w:sz w:val="21"/>
                <w:szCs w:val="21"/>
              </w:rPr>
            </w:pPr>
          </w:p>
        </w:tc>
        <w:tc>
          <w:tcPr>
            <w:tcW w:w="1872" w:type="dxa"/>
            <w:vAlign w:val="center"/>
          </w:tcPr>
          <w:p w14:paraId="68329569">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3.7论文质量</w:t>
            </w:r>
          </w:p>
        </w:tc>
        <w:tc>
          <w:tcPr>
            <w:tcW w:w="6208" w:type="dxa"/>
            <w:vAlign w:val="center"/>
          </w:tcPr>
          <w:p w14:paraId="06523CC4">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体现本专业学位特点的学位论文类型（如调研报告、规划设计、产品开发、案例分析、项目管理、艺术作品等）规范、评阅规则和核查办法的制定及执行情况，强化专业学位论文应用导向的情况。本学位点学位论文在各类论文抽检、评审中的情况和论文质量分析。</w:t>
            </w:r>
          </w:p>
        </w:tc>
      </w:tr>
      <w:tr w14:paraId="5AC5E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shd w:val="clear" w:color="auto" w:fill="auto"/>
            <w:vAlign w:val="center"/>
          </w:tcPr>
          <w:p w14:paraId="3A4D5791">
            <w:pPr>
              <w:snapToGrid w:val="0"/>
              <w:spacing w:line="270" w:lineRule="exact"/>
              <w:rPr>
                <w:rFonts w:ascii="Times New Roman" w:hAnsi="Times New Roman" w:eastAsia="仿宋" w:cs="Times New Roman"/>
                <w:sz w:val="21"/>
                <w:szCs w:val="21"/>
              </w:rPr>
            </w:pPr>
          </w:p>
        </w:tc>
        <w:tc>
          <w:tcPr>
            <w:tcW w:w="1872" w:type="dxa"/>
            <w:vAlign w:val="center"/>
          </w:tcPr>
          <w:p w14:paraId="47C7F969">
            <w:pPr>
              <w:snapToGrid w:val="0"/>
              <w:spacing w:line="270" w:lineRule="exact"/>
              <w:rPr>
                <w:rFonts w:ascii="Times New Roman" w:hAnsi="Times New Roman" w:eastAsia="仿宋" w:cs="Times New Roman"/>
                <w:sz w:val="21"/>
                <w:szCs w:val="21"/>
                <w:lang w:val="zh-CN"/>
              </w:rPr>
            </w:pPr>
            <w:r>
              <w:rPr>
                <w:rFonts w:ascii="Times New Roman" w:hAnsi="Times New Roman" w:eastAsia="仿宋" w:cs="Times New Roman"/>
                <w:sz w:val="21"/>
                <w:szCs w:val="21"/>
              </w:rPr>
              <w:t>3.8质量保证</w:t>
            </w:r>
          </w:p>
        </w:tc>
        <w:tc>
          <w:tcPr>
            <w:tcW w:w="6208" w:type="dxa"/>
            <w:vAlign w:val="center"/>
          </w:tcPr>
          <w:p w14:paraId="489F1259">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培养全过程监控与质量保证、学位论文和学位授予管理、强化指导教师质量管控责任、分流淘汰机制等情况。</w:t>
            </w:r>
          </w:p>
        </w:tc>
      </w:tr>
      <w:tr w14:paraId="21211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shd w:val="clear" w:color="auto" w:fill="auto"/>
            <w:vAlign w:val="center"/>
          </w:tcPr>
          <w:p w14:paraId="540C85EE">
            <w:pPr>
              <w:snapToGrid w:val="0"/>
              <w:spacing w:line="270" w:lineRule="exact"/>
              <w:rPr>
                <w:rFonts w:ascii="Times New Roman" w:hAnsi="Times New Roman" w:eastAsia="仿宋" w:cs="Times New Roman"/>
                <w:sz w:val="21"/>
                <w:szCs w:val="21"/>
              </w:rPr>
            </w:pPr>
          </w:p>
        </w:tc>
        <w:tc>
          <w:tcPr>
            <w:tcW w:w="1872" w:type="dxa"/>
            <w:vAlign w:val="center"/>
          </w:tcPr>
          <w:p w14:paraId="2A831384">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3.9学风建设</w:t>
            </w:r>
          </w:p>
        </w:tc>
        <w:tc>
          <w:tcPr>
            <w:tcW w:w="6208" w:type="dxa"/>
            <w:vAlign w:val="center"/>
          </w:tcPr>
          <w:p w14:paraId="60339A2F">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本学位点科学道德和学术规范教育开展情况，学术不端行为处理情况。</w:t>
            </w:r>
          </w:p>
        </w:tc>
      </w:tr>
      <w:tr w14:paraId="4C4AB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2F534CE4">
            <w:pPr>
              <w:snapToGrid w:val="0"/>
              <w:spacing w:line="270" w:lineRule="exact"/>
              <w:rPr>
                <w:rFonts w:ascii="Times New Roman" w:hAnsi="Times New Roman" w:eastAsia="仿宋" w:cs="Times New Roman"/>
                <w:sz w:val="21"/>
                <w:szCs w:val="21"/>
              </w:rPr>
            </w:pPr>
          </w:p>
        </w:tc>
        <w:tc>
          <w:tcPr>
            <w:tcW w:w="1872" w:type="dxa"/>
            <w:vAlign w:val="center"/>
          </w:tcPr>
          <w:p w14:paraId="7C62AFF4">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3.10管理服务</w:t>
            </w:r>
          </w:p>
        </w:tc>
        <w:tc>
          <w:tcPr>
            <w:tcW w:w="6208" w:type="dxa"/>
            <w:vAlign w:val="center"/>
          </w:tcPr>
          <w:p w14:paraId="523341F8">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专职管理人员配备，研究生权益保障制度，在学研究生满意度调查情况等。</w:t>
            </w:r>
          </w:p>
        </w:tc>
      </w:tr>
      <w:tr w14:paraId="4F1FE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4903CD42">
            <w:pPr>
              <w:snapToGrid w:val="0"/>
              <w:spacing w:line="270" w:lineRule="exact"/>
              <w:rPr>
                <w:rFonts w:ascii="Times New Roman" w:hAnsi="Times New Roman" w:eastAsia="仿宋" w:cs="Times New Roman"/>
                <w:sz w:val="21"/>
                <w:szCs w:val="21"/>
              </w:rPr>
            </w:pPr>
          </w:p>
        </w:tc>
        <w:tc>
          <w:tcPr>
            <w:tcW w:w="1872" w:type="dxa"/>
            <w:vAlign w:val="center"/>
          </w:tcPr>
          <w:p w14:paraId="063004B5">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3.11就业发展</w:t>
            </w:r>
          </w:p>
        </w:tc>
        <w:tc>
          <w:tcPr>
            <w:tcW w:w="6208" w:type="dxa"/>
            <w:vAlign w:val="center"/>
          </w:tcPr>
          <w:p w14:paraId="5E3EBA74">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本学位点人才需求与就业动态反馈机制建立情况，人才需求和就业状况报告发布情况，用人单位意见反馈和毕业生发展质量调查情况。</w:t>
            </w:r>
          </w:p>
        </w:tc>
      </w:tr>
      <w:tr w14:paraId="430C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restart"/>
            <w:vAlign w:val="center"/>
          </w:tcPr>
          <w:p w14:paraId="6090F570">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4服务贡献</w:t>
            </w:r>
          </w:p>
        </w:tc>
        <w:tc>
          <w:tcPr>
            <w:tcW w:w="1872" w:type="dxa"/>
            <w:vAlign w:val="center"/>
          </w:tcPr>
          <w:p w14:paraId="12F15CF7">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4.1 科技进步</w:t>
            </w:r>
          </w:p>
        </w:tc>
        <w:tc>
          <w:tcPr>
            <w:tcW w:w="6208" w:type="dxa"/>
            <w:vAlign w:val="center"/>
          </w:tcPr>
          <w:p w14:paraId="56712E2D">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科研成果转化、促进科技进步情况</w:t>
            </w:r>
          </w:p>
        </w:tc>
      </w:tr>
      <w:tr w14:paraId="5576C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54BE8BCA">
            <w:pPr>
              <w:snapToGrid w:val="0"/>
              <w:spacing w:line="270" w:lineRule="exact"/>
              <w:rPr>
                <w:rFonts w:ascii="Times New Roman" w:hAnsi="Times New Roman" w:eastAsia="仿宋" w:cs="Times New Roman"/>
                <w:sz w:val="21"/>
                <w:szCs w:val="21"/>
              </w:rPr>
            </w:pPr>
          </w:p>
        </w:tc>
        <w:tc>
          <w:tcPr>
            <w:tcW w:w="1872" w:type="dxa"/>
            <w:vAlign w:val="center"/>
          </w:tcPr>
          <w:p w14:paraId="4E9CCEFB">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4.2 经济发展</w:t>
            </w:r>
          </w:p>
        </w:tc>
        <w:tc>
          <w:tcPr>
            <w:tcW w:w="6208" w:type="dxa"/>
            <w:vAlign w:val="center"/>
          </w:tcPr>
          <w:p w14:paraId="6184F2F9">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服务国家和地区经济发展情况</w:t>
            </w:r>
          </w:p>
        </w:tc>
      </w:tr>
      <w:tr w14:paraId="764B3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490" w:type="dxa"/>
            <w:vMerge w:val="continue"/>
            <w:vAlign w:val="center"/>
          </w:tcPr>
          <w:p w14:paraId="2153C790">
            <w:pPr>
              <w:snapToGrid w:val="0"/>
              <w:spacing w:line="270" w:lineRule="exact"/>
              <w:rPr>
                <w:rFonts w:ascii="Times New Roman" w:hAnsi="Times New Roman" w:eastAsia="仿宋" w:cs="Times New Roman"/>
                <w:sz w:val="21"/>
                <w:szCs w:val="21"/>
              </w:rPr>
            </w:pPr>
          </w:p>
        </w:tc>
        <w:tc>
          <w:tcPr>
            <w:tcW w:w="1872" w:type="dxa"/>
            <w:vAlign w:val="center"/>
          </w:tcPr>
          <w:p w14:paraId="735FB342">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4.3 文化建设</w:t>
            </w:r>
          </w:p>
        </w:tc>
        <w:tc>
          <w:tcPr>
            <w:tcW w:w="6208" w:type="dxa"/>
            <w:vAlign w:val="center"/>
          </w:tcPr>
          <w:p w14:paraId="1AF5BE46">
            <w:pPr>
              <w:snapToGrid w:val="0"/>
              <w:spacing w:line="270" w:lineRule="exact"/>
              <w:rPr>
                <w:rFonts w:ascii="Times New Roman" w:hAnsi="Times New Roman" w:eastAsia="仿宋" w:cs="Times New Roman"/>
                <w:sz w:val="21"/>
                <w:szCs w:val="21"/>
              </w:rPr>
            </w:pPr>
            <w:r>
              <w:rPr>
                <w:rFonts w:ascii="Times New Roman" w:hAnsi="Times New Roman" w:eastAsia="仿宋" w:cs="Times New Roman"/>
                <w:sz w:val="21"/>
                <w:szCs w:val="21"/>
              </w:rPr>
              <w:t>繁荣和发展社会主义文化情况</w:t>
            </w:r>
          </w:p>
        </w:tc>
      </w:tr>
      <w:bookmarkEnd w:id="0"/>
    </w:tbl>
    <w:p w14:paraId="7A76D1E3">
      <w:pPr>
        <w:rPr>
          <w:rFonts w:hint="default" w:ascii="Times New Roman" w:hAnsi="Times New Roman" w:eastAsia="仿宋" w:cs="Times New Roman"/>
          <w:sz w:val="32"/>
          <w:szCs w:val="32"/>
        </w:rPr>
      </w:pPr>
      <w:r>
        <w:rPr>
          <w:rFonts w:ascii="Times New Roman" w:hAnsi="Times New Roman" w:eastAsia="仿宋" w:cs="Times New Roman"/>
          <w:sz w:val="21"/>
          <w:szCs w:val="21"/>
        </w:rPr>
        <w:t>注：本抽评要素仅供抽评使用，是教育行政部门评价学位授权点的主要内容。各专业学位教指委应制定符合本专业学位类别特点的具体抽评内容。</w:t>
      </w:r>
    </w:p>
    <w:sectPr>
      <w:pgSz w:w="11906" w:h="16838"/>
      <w:pgMar w:top="1553"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embedRegular r:id="rId1" w:fontKey="{CD88AAD8-3E22-491A-9A14-239841E6279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2NTA4YjkyMjE2MTliYWE3YmVlY2ZlYjc0OTFjZWEifQ=="/>
  </w:docVars>
  <w:rsids>
    <w:rsidRoot w:val="00771618"/>
    <w:rsid w:val="00024BEF"/>
    <w:rsid w:val="00032480"/>
    <w:rsid w:val="00091B00"/>
    <w:rsid w:val="000B3609"/>
    <w:rsid w:val="000C553A"/>
    <w:rsid w:val="001A246F"/>
    <w:rsid w:val="00232A44"/>
    <w:rsid w:val="00270005"/>
    <w:rsid w:val="002F355A"/>
    <w:rsid w:val="0033212B"/>
    <w:rsid w:val="00376AAE"/>
    <w:rsid w:val="004B2344"/>
    <w:rsid w:val="004C3CBB"/>
    <w:rsid w:val="00564070"/>
    <w:rsid w:val="0058009A"/>
    <w:rsid w:val="005C6C3E"/>
    <w:rsid w:val="005E24A1"/>
    <w:rsid w:val="00640CD7"/>
    <w:rsid w:val="00652962"/>
    <w:rsid w:val="00697EC8"/>
    <w:rsid w:val="006E017D"/>
    <w:rsid w:val="00771618"/>
    <w:rsid w:val="007A0189"/>
    <w:rsid w:val="007A14E3"/>
    <w:rsid w:val="007C2944"/>
    <w:rsid w:val="007E4DB2"/>
    <w:rsid w:val="007E7222"/>
    <w:rsid w:val="008148CB"/>
    <w:rsid w:val="00814D07"/>
    <w:rsid w:val="00861105"/>
    <w:rsid w:val="008900AC"/>
    <w:rsid w:val="0096615D"/>
    <w:rsid w:val="00970076"/>
    <w:rsid w:val="00981F7F"/>
    <w:rsid w:val="009A4724"/>
    <w:rsid w:val="009F0F8F"/>
    <w:rsid w:val="00A02839"/>
    <w:rsid w:val="00A61B81"/>
    <w:rsid w:val="00B6396F"/>
    <w:rsid w:val="00B74945"/>
    <w:rsid w:val="00B83885"/>
    <w:rsid w:val="00BF3B55"/>
    <w:rsid w:val="00C10BD8"/>
    <w:rsid w:val="00C52082"/>
    <w:rsid w:val="00CA0901"/>
    <w:rsid w:val="00CA2EB3"/>
    <w:rsid w:val="00CA653E"/>
    <w:rsid w:val="00D27C30"/>
    <w:rsid w:val="00DD4433"/>
    <w:rsid w:val="00E167CE"/>
    <w:rsid w:val="00F11831"/>
    <w:rsid w:val="00F24D65"/>
    <w:rsid w:val="00F4667D"/>
    <w:rsid w:val="00F56050"/>
    <w:rsid w:val="037D6900"/>
    <w:rsid w:val="0433224A"/>
    <w:rsid w:val="0C662486"/>
    <w:rsid w:val="0CBA3508"/>
    <w:rsid w:val="0DE409AE"/>
    <w:rsid w:val="0E224D9D"/>
    <w:rsid w:val="11617E91"/>
    <w:rsid w:val="12230C0B"/>
    <w:rsid w:val="17BB1EE3"/>
    <w:rsid w:val="1BBD7954"/>
    <w:rsid w:val="1C9D6C20"/>
    <w:rsid w:val="1E110E9B"/>
    <w:rsid w:val="22EF7C72"/>
    <w:rsid w:val="25AF5CF3"/>
    <w:rsid w:val="299627B0"/>
    <w:rsid w:val="2A243109"/>
    <w:rsid w:val="2ED47567"/>
    <w:rsid w:val="2FD5385F"/>
    <w:rsid w:val="348C6399"/>
    <w:rsid w:val="385B52F0"/>
    <w:rsid w:val="3AFE01B5"/>
    <w:rsid w:val="3E682515"/>
    <w:rsid w:val="3F5961AE"/>
    <w:rsid w:val="4AAF6DD6"/>
    <w:rsid w:val="4CCB76A0"/>
    <w:rsid w:val="50AC08F9"/>
    <w:rsid w:val="5DAC403A"/>
    <w:rsid w:val="61505F92"/>
    <w:rsid w:val="65A9737F"/>
    <w:rsid w:val="66812F3A"/>
    <w:rsid w:val="6D8A6902"/>
    <w:rsid w:val="71E46577"/>
    <w:rsid w:val="73F1041A"/>
    <w:rsid w:val="74805AC4"/>
    <w:rsid w:val="77031668"/>
    <w:rsid w:val="7E9E2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9"/>
    <w:pPr>
      <w:spacing w:line="600" w:lineRule="exact"/>
      <w:ind w:firstLine="640" w:firstLineChars="200"/>
      <w:outlineLvl w:val="2"/>
    </w:pPr>
    <w:rPr>
      <w:rFonts w:ascii="黑体" w:hAnsi="黑体" w:eastAsia="黑体"/>
      <w:color w:val="000000"/>
      <w:szCs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next w:val="1"/>
    <w:unhideWhenUsed/>
    <w:qFormat/>
    <w:uiPriority w:val="0"/>
    <w:rPr>
      <w:rFonts w:ascii="Calibri" w:hAnsi="Calibri"/>
      <w:sz w:val="20"/>
      <w:szCs w:val="20"/>
    </w:rPr>
  </w:style>
  <w:style w:type="paragraph" w:styleId="4">
    <w:name w:val="Balloon Text"/>
    <w:basedOn w:val="1"/>
    <w:link w:val="13"/>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character" w:customStyle="1" w:styleId="10">
    <w:name w:val="页眉 字符"/>
    <w:basedOn w:val="8"/>
    <w:link w:val="6"/>
    <w:autoRedefine/>
    <w:qFormat/>
    <w:uiPriority w:val="99"/>
    <w:rPr>
      <w:sz w:val="18"/>
      <w:szCs w:val="18"/>
    </w:rPr>
  </w:style>
  <w:style w:type="character" w:customStyle="1" w:styleId="11">
    <w:name w:val="页脚 字符"/>
    <w:basedOn w:val="8"/>
    <w:link w:val="5"/>
    <w:autoRedefine/>
    <w:qFormat/>
    <w:uiPriority w:val="99"/>
    <w:rPr>
      <w:sz w:val="18"/>
      <w:szCs w:val="18"/>
    </w:rPr>
  </w:style>
  <w:style w:type="paragraph" w:styleId="12">
    <w:name w:val="List Paragraph"/>
    <w:basedOn w:val="1"/>
    <w:autoRedefine/>
    <w:qFormat/>
    <w:uiPriority w:val="34"/>
    <w:pPr>
      <w:ind w:firstLine="420" w:firstLineChars="200"/>
    </w:pPr>
  </w:style>
  <w:style w:type="character" w:customStyle="1" w:styleId="13">
    <w:name w:val="批注框文本 字符"/>
    <w:basedOn w:val="8"/>
    <w:link w:val="4"/>
    <w:autoRedefine/>
    <w:semiHidden/>
    <w:qFormat/>
    <w:uiPriority w:val="99"/>
    <w:rPr>
      <w:sz w:val="18"/>
      <w:szCs w:val="18"/>
    </w:rPr>
  </w:style>
  <w:style w:type="character" w:customStyle="1" w:styleId="14">
    <w:name w:val="NormalCharacter"/>
    <w:semiHidden/>
    <w:qFormat/>
    <w:uiPriority w:val="0"/>
    <w:rPr>
      <w:rFonts w:eastAsia="方正仿宋简体" w:asciiTheme="minorHAnsi" w:hAnsiTheme="minorHAnsi" w:cstheme="minorBidi"/>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61696320-62f5-4d58-ac87-8fdad1df11a8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6ECD09E2</paraID>
      <start>60</start>
      <end>61</end>
      <status>modified</status>
      <modifiedWord>—</modifiedWord>
      <trackRevisions>false</trackRevisions>
    </reviewItem>
    <reviewItem>
      <errorID>361fd765-f05f-43f4-8841-125d6d62eb68</errorID>
      <errorWord>。】</errorWord>
      <group>L1_Punc</group>
      <groupName>标点问题</groupName>
      <ability>L2_Punc</ability>
      <abilityName>标点符号检查</abilityName>
      <candidateList>
        <item>】</item>
      </candidateList>
      <explain/>
      <paraID>3F9D5E5B</paraID>
      <start>116</start>
      <end>117</end>
      <status>modified</status>
      <modifiedWord>】</modifiedWord>
      <trackRevisions>false</trackRevisions>
    </reviewItem>
    <reviewItem>
      <errorID>d81d4ecb-bd98-480c-8a5b-662b0c341e82</errorID>
      <errorWord>。】</errorWord>
      <group>L1_Punc</group>
      <groupName>标点问题</groupName>
      <ability>L2_Punc</ability>
      <abilityName>标点符号检查</abilityName>
      <candidateList>
        <item>】</item>
      </candidateList>
      <explain/>
      <paraID>4C1D73E5</paraID>
      <start>24</start>
      <end>25</end>
      <status>modified</status>
      <modifiedWord>】</modifiedWord>
      <trackRevisions>false</trackRevisions>
    </reviewItem>
    <reviewItem>
      <errorID>737c3235-5514-4141-9cee-d6c69c8a9673</errorID>
      <errorWord>。】</errorWord>
      <group>L1_Punc</group>
      <groupName>标点问题</groupName>
      <ability>L2_Punc</ability>
      <abilityName>标点符号检查</abilityName>
      <candidateList>
        <item>】</item>
      </candidateList>
      <explain/>
      <paraID>2866D36D</paraID>
      <start>35</start>
      <end>36</end>
      <status>modified</status>
      <modifiedWord>】</modifiedWord>
      <trackRevisions>false</trackRevisions>
    </reviewItem>
    <reviewItem>
      <errorID>7a940733-966d-4619-bb33-93d10da4ed8a</errorID>
      <errorWord>经过经过</errorWord>
      <group>L1_Word</group>
      <groupName>字词问题</groupName>
      <ability>L2_Typo</ability>
      <abilityName>字词错误</abilityName>
      <candidateList>
        <item>经过</item>
      </candidateList>
      <explain>❶〈动〉通过（处所、时间、动作等）：从北京坐火车到广州要～武汉｜屋子～打扫，干净多了｜这件事情是～领导上缜密考虑过的。❷〈名〉过程；经历▲：厂长向来宾报告建厂～｜说说你探险的～。</explain>
      <paraID>3121709B</paraID>
      <start>4</start>
      <end>6</end>
      <status>modified</status>
      <modifiedWord>经过</modifiedWord>
      <trackRevisions>false</trackRevisions>
    </reviewItem>
    <reviewItem>
      <errorID>1328d2cf-3b59-4a68-976a-865e08d2cbde</errorID>
      <errorWord>,</errorWord>
      <group>L1_Format</group>
      <groupName>格式问题</groupName>
      <ability>L2_HalfPunc</ability>
      <abilityName>全半角检查</abilityName>
      <candidateList>
        <item>，</item>
      </candidateList>
      <explain>文本全半角错误。</explain>
      <paraID>4A28DE7D</paraID>
      <start>23</start>
      <end>24</end>
      <status>modified</status>
      <modifiedWord>，</modifiedWord>
      <trackRevisions>false</trackRevisions>
    </reviewItem>
  </reviewItems>
  <config/>
</contractReview>
</file>

<file path=customXml/itemProps1.xml><?xml version="1.0" encoding="utf-8"?>
<ds:datastoreItem xmlns:ds="http://schemas.openxmlformats.org/officeDocument/2006/customXml" ds:itemID="{6441c82b-da2a-40c8-ad72-9f282060d84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1020</Words>
  <Characters>1064</Characters>
  <Lines>5</Lines>
  <Paragraphs>1</Paragraphs>
  <TotalTime>0</TotalTime>
  <ScaleCrop>false</ScaleCrop>
  <LinksUpToDate>false</LinksUpToDate>
  <CharactersWithSpaces>1067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2021-10-18T03:23:00Z</dcterms:created>
  <dc:creator>微软用户</dc:creator>
  <cp:lastModifiedBy>86137</cp:lastModifiedBy>
  <cp:lastPrinted>2025-12-15T07:27:00Z</cp:lastPrinted>
  <dcterms:modified xsi:type="dcterms:W3CDTF">2026-05-15T01:16:28Z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BCE3AFD8C4B642D3B556756E0C93379A_13</vt:lpwstr>
  </property>
  <property fmtid="{D5CDD505-2E9C-101B-9397-08002B2CF9AE}" pid="4" name="KSOTemplateDocerSaveRecord">
    <vt:lpwstr>eyJoZGlkIjoiZGJlY2ZmNjNjOThiMWQ0M2E4MDQzZTUwMTU1NGZjNzgiLCJ1c2VySWQiOiIxMTcyOTM0OTAzIn0=</vt:lpwstr>
  </property>
</Properties>
</file>